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4.tiff" ContentType="image/tiff"/>
  <Override PartName="/word/media/rId33.tiff" ContentType="image/tiff"/>
  <Override PartName="/word/media/rId34.jpg" ContentType="image/jpeg"/>
  <Override PartName="/word/media/rId35.tiff" ContentType="image/tiff"/>
  <Override PartName="/word/media/rId25.tiff" ContentType="image/tiff"/>
  <Override PartName="/word/media/rId26.jpg" ContentType="image/jpeg"/>
  <Override PartName="/word/media/rId27.tiff" ContentType="image/tiff"/>
  <Override PartName="/word/media/rId28.jpg" ContentType="image/jpeg"/>
  <Override PartName="/word/media/rId29.jpg" ContentType="image/jpeg"/>
  <Override PartName="/word/media/rId30.jpg" ContentType="image/jpeg"/>
  <Override PartName="/word/media/rId31.jpg" ContentType="image/jpeg"/>
  <Override PartName="/word/media/rId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Appendix</w:t>
      </w:r>
      <w:r>
        <w:t xml:space="preserve"> </w:t>
      </w:r>
      <w:r>
        <w:t xml:space="preserve">for:</w:t>
      </w:r>
      <w:r>
        <w:t xml:space="preserve"> </w:t>
      </w:r>
      <w:r>
        <w:t xml:space="preserve">Floral</w:t>
      </w:r>
      <w:r>
        <w:t xml:space="preserve"> </w:t>
      </w:r>
      <w:r>
        <w:t xml:space="preserve">phenology</w:t>
      </w:r>
      <w:r>
        <w:t xml:space="preserve"> </w:t>
      </w:r>
      <w:r>
        <w:t xml:space="preserve">of</w:t>
      </w:r>
      <w:r>
        <w:t xml:space="preserve"> </w:t>
      </w:r>
      <w:r>
        <w:t xml:space="preserve">an</w:t>
      </w:r>
      <w:r>
        <w:t xml:space="preserve"> </w:t>
      </w:r>
      <w:r>
        <w:t xml:space="preserve">Andean</w:t>
      </w:r>
      <w:r>
        <w:t xml:space="preserve"> </w:t>
      </w:r>
      <w:r>
        <w:t xml:space="preserve">bellflower</w:t>
      </w:r>
      <w:r>
        <w:t xml:space="preserve"> </w:t>
      </w:r>
      <w:r>
        <w:t xml:space="preserve">and</w:t>
      </w:r>
      <w:r>
        <w:t xml:space="preserve"> </w:t>
      </w:r>
      <w:r>
        <w:t xml:space="preserve">pollination</w:t>
      </w:r>
      <w:r>
        <w:t xml:space="preserve"> </w:t>
      </w:r>
      <w:r>
        <w:t xml:space="preserve">by</w:t>
      </w:r>
      <w:r>
        <w:t xml:space="preserve"> </w:t>
      </w:r>
      <w:r>
        <w:t xml:space="preserve">Buff-tailed</w:t>
      </w:r>
      <w:r>
        <w:t xml:space="preserve"> </w:t>
      </w:r>
      <w:r>
        <w:t xml:space="preserve">Sicklebill</w:t>
      </w:r>
    </w:p>
    <w:bookmarkStart w:id="20" w:name="further-notes-on-methods"/>
    <w:p>
      <w:pPr>
        <w:pStyle w:val="Heading4"/>
      </w:pPr>
      <w:r>
        <w:t xml:space="preserve">Further notes on methods</w:t>
      </w:r>
    </w:p>
    <w:p>
      <w:pPr>
        <w:pStyle w:val="FirstParagraph"/>
      </w:pPr>
      <w:r>
        <w:t xml:space="preserve"> </w:t>
      </w:r>
      <w:r>
        <w:t xml:space="preserve"> </w:t>
      </w:r>
      <w:r>
        <w:t xml:space="preserve"> </w:t>
      </w:r>
    </w:p>
    <w:bookmarkEnd w:id="20"/>
    <w:bookmarkStart w:id="21" w:name="visit-duration"/>
    <w:p>
      <w:pPr>
        <w:pStyle w:val="Heading4"/>
      </w:pPr>
      <w:r>
        <w:t xml:space="preserve">Visit duration</w:t>
      </w:r>
    </w:p>
    <w:p>
      <w:pPr>
        <w:pStyle w:val="FirstParagraph"/>
      </w:pPr>
      <w:r>
        <w:t xml:space="preserve">To estimate the duration of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visits, we considered that the camera traps took photos in sets of five, lasting less than 3 seconds. To make a conservative estimate, we assume the five photos take 3 seconds. For any 5-photo set in which</w:t>
      </w:r>
      <w:r>
        <w:t xml:space="preserve"> </w:t>
      </w:r>
      <w:r>
        <w:rPr>
          <w:i/>
        </w:rPr>
        <w:t xml:space="preserve">E condamini</w:t>
      </w:r>
      <w:r>
        <w:t xml:space="preserve"> </w:t>
      </w:r>
      <w:r>
        <w:t xml:space="preserve">appears, we assume 3 seconds visitation. For example, during visitation, if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appears in two 5-photo sets, we assume a 2</w:t>
      </w:r>
      <w:r>
        <w:t xml:space="preserve"> </w:t>
      </w:r>
      <w:r>
        <w:t xml:space="preserve"> </w:t>
      </w:r>
      <w:r>
        <w:t xml:space="preserve">second (= 6 second) visit, even if the hummingbird appeared in only a subset of the 10 photos.</w:t>
      </w:r>
    </w:p>
    <w:bookmarkEnd w:id="21"/>
    <w:bookmarkStart w:id="22" w:name="landmarking-and-calculating-curvature"/>
    <w:p>
      <w:pPr>
        <w:pStyle w:val="Heading4"/>
      </w:pPr>
      <w:r>
        <w:t xml:space="preserve">Landmarking and calculating curvature</w:t>
      </w:r>
    </w:p>
    <w:p>
      <w:pPr>
        <w:pStyle w:val="FirstParagraph"/>
      </w:pPr>
      <w:r>
        <w:t xml:space="preserve">In Figure 1 (main text) we present a graphical illustration of the range of pollination niches within the centropogonids. To compute total curvature</w:t>
      </w:r>
      <w:r>
        <w:t xml:space="preserve"> </w:t>
      </w:r>
      <w:r>
        <w:t xml:space="preserve">(sensu</w:t>
      </w:r>
      <w:r>
        <w:t xml:space="preserve"> </w:t>
      </w:r>
      <w:hyperlink w:anchor="ref-boehm_2022">
        <w:r>
          <w:rPr>
            <w:rStyle w:val="Hyperlink"/>
          </w:rPr>
          <w:t xml:space="preserve">Boehm</w:t>
        </w:r>
        <w:r>
          <w:rPr>
            <w:rStyle w:val="Hyperlink"/>
          </w:rPr>
          <w:t xml:space="preserve"> </w:t>
        </w:r>
        <w:r>
          <w:rPr>
            <w:rStyle w:val="Hyperlink"/>
            <w:i/>
          </w:rPr>
          <w:t xml:space="preserve">et al.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2022</w:t>
        </w:r>
      </w:hyperlink>
      <w:r>
        <w:t xml:space="preserve">)</w:t>
      </w:r>
      <w:r>
        <w:t xml:space="preserve">, we used the following protocol. First, images were imported into</w:t>
      </w:r>
      <w:r>
        <w:t xml:space="preserve"> </w:t>
      </w:r>
      <w:r>
        <w:rPr>
          <w:i/>
        </w:rPr>
        <w:t xml:space="preserve">tpsUtil</w:t>
      </w:r>
      <w:r>
        <w:t xml:space="preserve"> </w:t>
      </w:r>
      <w:r>
        <w:t xml:space="preserve">(</w:t>
      </w:r>
      <w:hyperlink w:anchor="ref-rohlf_2015">
        <w:r>
          <w:rPr>
            <w:rStyle w:val="Hyperlink"/>
          </w:rPr>
          <w:t xml:space="preserve">Rohlf 2015</w:t>
        </w:r>
      </w:hyperlink>
      <w:r>
        <w:t xml:space="preserve">)</w:t>
      </w:r>
      <w:r>
        <w:t xml:space="preserve">. This .tps file is used by</w:t>
      </w:r>
      <w:r>
        <w:t xml:space="preserve"> </w:t>
      </w:r>
      <w:r>
        <w:rPr>
          <w:i/>
        </w:rPr>
        <w:t xml:space="preserve">tpsDig</w:t>
      </w:r>
      <w:r>
        <w:t xml:space="preserve"> </w:t>
      </w:r>
      <w:r>
        <w:t xml:space="preserve">(</w:t>
      </w:r>
      <w:hyperlink w:anchor="ref-rohlf_2015">
        <w:r>
          <w:rPr>
            <w:rStyle w:val="Hyperlink"/>
          </w:rPr>
          <w:t xml:space="preserve">Rohlf 2015</w:t>
        </w:r>
      </w:hyperlink>
      <w:r>
        <w:t xml:space="preserve">)</w:t>
      </w:r>
      <w:r>
        <w:t xml:space="preserve"> </w:t>
      </w:r>
      <w:r>
        <w:t xml:space="preserve">for landmark assignment. We then placed the following two landmarks on each flower: (A) the base of the dorsal side of the corolla tube where the petals attach to the receptacle and (B) the apex of the dorsal petal. Nine additional sliding semi-landmarks were then placed between the two landmarks, outlining the dorsal arc of the corolla tube. For the hummingbirds, the following two landmarks were placed on each bill: (C) the base of the dorsal side of the upper mandible (exposed), and (D) the apex of the bill. Nine semi-landmarks were placed between these landmarks.</w:t>
      </w:r>
    </w:p>
    <w:p>
      <w:pPr>
        <w:pStyle w:val="BodyText"/>
      </w:pPr>
      <w:r>
        <w:t xml:space="preserve">The .tps file generated by</w:t>
      </w:r>
      <w:r>
        <w:t xml:space="preserve"> </w:t>
      </w:r>
      <w:r>
        <w:rPr>
          <w:i/>
        </w:rPr>
        <w:t xml:space="preserve">tpsDig</w:t>
      </w:r>
      <w:r>
        <w:t xml:space="preserve"> </w:t>
      </w:r>
      <w:r>
        <w:t xml:space="preserve">was then imported into R v.4.1.1 via</w:t>
      </w:r>
      <w:r>
        <w:t xml:space="preserve"> </w:t>
      </w:r>
      <w:r>
        <w:rPr>
          <w:rStyle w:val="VerbatimChar"/>
        </w:rPr>
        <w:t xml:space="preserve">readmulti.tps()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geomorph</w:t>
      </w:r>
      <w:r>
        <w:t xml:space="preserve"> </w:t>
      </w:r>
      <w:r>
        <w:t xml:space="preserve">v.4.0.0</w:t>
      </w:r>
      <w:r>
        <w:t xml:space="preserve"> </w:t>
      </w:r>
      <w:r>
        <w:t xml:space="preserve">(</w:t>
      </w:r>
      <w:hyperlink w:anchor="ref-adams_2013">
        <w:r>
          <w:rPr>
            <w:rStyle w:val="Hyperlink"/>
          </w:rPr>
          <w:t xml:space="preserve">Adams &amp; Otárola-Castillo 2013</w:t>
        </w:r>
      </w:hyperlink>
      <w:r>
        <w:t xml:space="preserve">)</w:t>
      </w:r>
      <w:r>
        <w:t xml:space="preserve">. We then fit interpolating splines to each landmark configuration, and computed total curvature using</w:t>
      </w:r>
      <w:r>
        <w:t xml:space="preserve"> </w:t>
      </w:r>
      <w:r>
        <w:rPr>
          <w:rStyle w:val="VerbatimChar"/>
        </w:rPr>
        <w:t xml:space="preserve">curvr</w:t>
      </w:r>
      <w:r>
        <w:t xml:space="preserve"> </w:t>
      </w:r>
      <w:r>
        <w:t xml:space="preserve">v.0.0.1</w:t>
      </w:r>
      <w:r>
        <w:t xml:space="preserve"> </w:t>
      </w:r>
      <w:r>
        <w:t xml:space="preserve">(</w:t>
      </w:r>
      <w:hyperlink w:anchor="ref-boehm_2021_b">
        <w:r>
          <w:rPr>
            <w:rStyle w:val="Hyperlink"/>
          </w:rPr>
          <w:t xml:space="preserve">Boehm 2021</w:t>
        </w:r>
      </w:hyperlink>
      <w:r>
        <w:t xml:space="preserve">)</w:t>
      </w:r>
      <w:r>
        <w:t xml:space="preserve">.</w:t>
      </w:r>
    </w:p>
    <w:bookmarkEnd w:id="22"/>
    <w:bookmarkStart w:id="23" w:name="phenological-modeling"/>
    <w:p>
      <w:pPr>
        <w:pStyle w:val="Heading4"/>
      </w:pPr>
      <w:r>
        <w:t xml:space="preserve">Phenological modeling</w:t>
      </w:r>
    </w:p>
    <w:p>
      <w:pPr>
        <w:pStyle w:val="FirstParagraph"/>
      </w:pPr>
      <w:r>
        <w:t xml:space="preserve">To model flowering phenology of</w:t>
      </w:r>
      <w:r>
        <w:t xml:space="preserve"> </w:t>
      </w:r>
      <w:r>
        <w:rPr>
          <w:i/>
        </w:rPr>
        <w:t xml:space="preserve">C. granulosus</w:t>
      </w:r>
      <w:r>
        <w:t xml:space="preserve">, we fit the following linear model to the rate of anthesis and senescence for each inflorescence that produced at least five flowers (</w:t>
      </w:r>
      <m:oMath>
        <m:r>
          <m:t>n</m:t>
        </m:r>
      </m:oMath>
      <w:r>
        <w:t xml:space="preserve"> </w:t>
      </w:r>
      <w:r>
        <w:t xml:space="preserve">= 5 controls,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= 5 pollinator excluded):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d</m:t>
          </m:r>
          <m:r>
            <m:t>a</m:t>
          </m:r>
          <m:r>
            <m:t>y</m:t>
          </m:r>
          <m:r>
            <m:t>s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n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cumulative number of flowers produced on an inflorescence at</w:t>
      </w:r>
      <w:r>
        <w:t xml:space="preserve"> </w:t>
      </w:r>
      <m:oMath>
        <m:r>
          <m:t>d</m:t>
        </m:r>
        <m:r>
          <m:t>a</m:t>
        </m:r>
        <m:r>
          <m:t>y</m:t>
        </m:r>
        <m:r>
          <m:t>s</m:t>
        </m:r>
      </m:oMath>
      <w:r>
        <w:t xml:space="preserve">=</w:t>
      </w:r>
      <m:oMath>
        <m:r>
          <m:t>i</m:t>
        </m:r>
      </m:oMath>
      <w:r>
        <w:t xml:space="preserve">,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the flowering rate,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p>
      <w:pPr>
        <w:pStyle w:val="BodyText"/>
      </w:pPr>
      <w:r>
        <w:t xml:space="preserve">   To determine if pollinator exclusion affected the total number of flowers produced, we fit the linear model: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t</m:t>
              </m:r>
              <m:r>
                <m:t>o</m:t>
              </m:r>
              <m:r>
                <m:t>t</m:t>
              </m:r>
              <m:r>
                <m:t>a</m:t>
              </m:r>
              <m:r>
                <m:t>l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t</m:t>
          </m:r>
          <m:r>
            <m:t>r</m:t>
          </m:r>
          <m:r>
            <m:t>e</m:t>
          </m:r>
          <m:r>
            <m:t>a</m:t>
          </m:r>
          <m:r>
            <m:t>t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a coefficient,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bookmarkEnd w:id="23"/>
    <w:bookmarkStart w:id="36" w:name="additional-figures"/>
    <w:p>
      <w:pPr>
        <w:pStyle w:val="Heading4"/>
      </w:pPr>
      <w:r>
        <w:t xml:space="preserve">Additional figures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A1. Fused anther hairs forming a scale and serving as a lever to deposit pollen (red arrow). This individual has finished the male phase and is in transition to the female phase — the stigma will continue to extend past the scale and unfold when receptive (white arrow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1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A2. Trait matching in Buff-tailed Sicklebill and C. granulosus observed at the study site. Photo used with permission from J. Heavyside (UBC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2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A2. Trait matching in Buff-tailed Sicklebill and C. granulosus observed at the study site. Photo used with permission from J. Heavyside (UBC).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924800"/>
            <wp:effectExtent b="0" l="0" r="0" t="0"/>
            <wp:docPr descr="Figure A3. Wire cages used to exclude avian visitors from accessing the nectaries of C. granulosus. Further details on the design can be found in Sun et al. (2017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A3. Wire cages used to exclude avian visitors from accessing the nectaries of</w:t>
      </w:r>
      <w:r>
        <w:t xml:space="preserve"> </w:t>
      </w:r>
      <w:r>
        <w:rPr>
          <w:i/>
        </w:rPr>
        <w:t xml:space="preserve">C. granulosus</w:t>
      </w:r>
      <w:r>
        <w:t xml:space="preserve">. Further details on the design can be found in Sun et al.</w:t>
      </w:r>
      <w:r>
        <w:t xml:space="preserve"> </w:t>
      </w:r>
      <w:r>
        <w:t xml:space="preserve">(</w:t>
      </w:r>
      <w:hyperlink w:anchor="ref-sun_2017">
        <w:r>
          <w:rPr>
            <w:rStyle w:val="Hyperlink"/>
          </w:rPr>
          <w:t xml:space="preserve">2017</w:t>
        </w:r>
      </w:hyperlink>
      <w:r>
        <w:t xml:space="preserve">)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A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4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A4. Still frames extracted from a video recording of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pollinating</w:t>
      </w:r>
      <w:r>
        <w:t xml:space="preserve"> </w:t>
      </w:r>
      <w:r>
        <w:rPr>
          <w:i/>
        </w:rPr>
        <w:t xml:space="preserve">C. granulosus</w:t>
      </w:r>
      <w:r>
        <w:t xml:space="preserve">. A: The hummingbird approaches and inspects an inflorescence without any open flowers. B: A second inflorescence with an open flower is approached. C: To insert its bill,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hovers below the flower opening and tilts its head backwards. D: During feeding, its head is at eye-level with the corolla opening and the anther/stigma is in contact with the crown.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A5. A long-nosed bat (Glossophaginae) recorded near an inflorescence of C. granulosus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A5. A long-nosed bat (Glossophaginae)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A6. A rodent (Muridae, bottom left) recorded near an inflorescence of C. granulosus (top left)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A6. A rodent (Muridae, bottom left)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(top left) 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A7. Signs of frugivory of a C. granulosus berry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A7. Signs of frugivory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berry.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A8. Herbivory of a C. granulosus flower by a larval lepidoptra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A8. Herbivory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flower by a larval lepidoptran.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481537"/>
            <wp:effectExtent b="0" l="0" r="0" t="0"/>
            <wp:docPr descr="Figure A9. A stingless bee (Meliponini) collecting pollen from an anther scale of C. granulosu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A9. A stingless bee (Meliponini) collecting pollen from an anther scale of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A10. Inflorescence of C. granulosus with a multitude of peduncle scars (red arrow) suggestive of an extended flowering peak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10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A10.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a multitude of peduncle scars (red arrow) suggestive of an extended flowering peak.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A11. Buff-tailed Sicklebill visiting Heliconia aemygdiana Burle-Marx, and using the floral bract as a perch during feeding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A11. Buff-tailed Sicklebill visiting</w:t>
      </w:r>
      <w:r>
        <w:t xml:space="preserve"> </w:t>
      </w:r>
      <w:r>
        <w:rPr>
          <w:i/>
        </w:rPr>
        <w:t xml:space="preserve">Heliconia aemygdiana</w:t>
      </w:r>
      <w:r>
        <w:t xml:space="preserve"> </w:t>
      </w:r>
      <w:r>
        <w:t xml:space="preserve">Burle-Marx, and using the floral bract as a perch during feeding.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A12. Recorded visits to C. granulosus by Buff-tailed Sicklebill. Visit data is compiled from six C. granulosus individuals (see: Table S3). ‘AM’ is defined as 12:00am-11:59am and ‘PM’ is 12:00pm-11:59pm’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eutoxeres/Figures/Figure_S12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A12. Recorded visits to C. granulosus by Buff-tailed Sicklebill. Visit data is compiled from six C. granulosus individuals (see: Table S3).</w:t>
      </w:r>
      <w:r>
        <w:t xml:space="preserve"> </w:t>
      </w:r>
      <w:r>
        <w:t xml:space="preserve">‘</w:t>
      </w:r>
      <w:r>
        <w:t xml:space="preserve">AM</w:t>
      </w:r>
      <w:r>
        <w:t xml:space="preserve">’</w:t>
      </w:r>
      <w:r>
        <w:t xml:space="preserve"> </w:t>
      </w:r>
      <w:r>
        <w:t xml:space="preserve">is defined as 12:00am-11:59am and</w:t>
      </w:r>
      <w:r>
        <w:t xml:space="preserve"> </w:t>
      </w:r>
      <w:r>
        <w:t xml:space="preserve">‘</w:t>
      </w:r>
      <w:r>
        <w:t xml:space="preserve">PM</w:t>
      </w:r>
      <w:r>
        <w:t xml:space="preserve">’</w:t>
      </w:r>
      <w:r>
        <w:t xml:space="preserve"> </w:t>
      </w:r>
      <w:r>
        <w:t xml:space="preserve">is 12:00pm-11:59pm’.</w:t>
      </w:r>
    </w:p>
    <w:p>
      <w:r>
        <w:br w:type="page"/>
      </w:r>
    </w:p>
    <w:bookmarkEnd w:id="36"/>
    <w:bookmarkStart w:id="37" w:name="additional-tables"/>
    <w:p>
      <w:pPr>
        <w:pStyle w:val="Heading4"/>
      </w:pPr>
      <w:r>
        <w:t xml:space="preserve">Additional tables</w:t>
      </w:r>
    </w:p>
    <w:p>
      <w:pPr>
        <w:pStyle w:val="TableCaption"/>
      </w:pPr>
      <w:r>
        <w:t xml:space="preserve">Table A1: Locations in San Pedro monitored for Sicklebill visitation to</w:t>
      </w:r>
      <w:r>
        <w:t xml:space="preserve"> </w:t>
      </w:r>
      <w:r>
        <w:rPr>
          <w:i/>
        </w:rPr>
        <w:t xml:space="preserve">C. granulosus</w:t>
      </w:r>
      <w:r>
        <w:t xml:space="preserve">. The first column lists the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individual identifiers.</w:t>
      </w:r>
    </w:p>
    <w:tbl>
      <w:tblPr>
        <w:tblStyle w:val="Table"/>
        <w:tblW w:type="pct" w:w="0.0"/>
        <w:tblLook w:firstRow="1" w:lastRow="0" w:firstColumn="0" w:lastColumn="0" w:noHBand="0" w:noVBand="0"/>
        <w:tblCaption w:val="Table A1: Locations in San Pedro monitored for Sicklebill visitation to C. granulosus. The first column lists the C. granulosus individual identifiers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latitude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longitude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elevation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1-10</w:t>
            </w:r>
          </w:p>
        </w:tc>
        <w:tc>
          <w:p>
            <w:pPr>
              <w:pStyle w:val="Compact"/>
              <w:jc w:val="right"/>
            </w:pPr>
            <w:r>
              <w:t xml:space="preserve">-13.05684</w:t>
            </w:r>
          </w:p>
        </w:tc>
        <w:tc>
          <w:p>
            <w:pPr>
              <w:pStyle w:val="Compact"/>
              <w:jc w:val="right"/>
            </w:pPr>
            <w:r>
              <w:t xml:space="preserve">-71.54469</w:t>
            </w:r>
          </w:p>
        </w:tc>
        <w:tc>
          <w:p>
            <w:pPr>
              <w:pStyle w:val="Compact"/>
              <w:jc w:val="right"/>
            </w:pPr>
            <w:r>
              <w:t xml:space="preserve">1306.706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11</w:t>
            </w:r>
          </w:p>
        </w:tc>
        <w:tc>
          <w:p>
            <w:pPr>
              <w:pStyle w:val="Compact"/>
              <w:jc w:val="right"/>
            </w:pPr>
            <w:r>
              <w:t xml:space="preserve">-13.05603</w:t>
            </w:r>
          </w:p>
        </w:tc>
        <w:tc>
          <w:p>
            <w:pPr>
              <w:pStyle w:val="Compact"/>
              <w:jc w:val="right"/>
            </w:pPr>
            <w:r>
              <w:t xml:space="preserve">-71.54515</w:t>
            </w:r>
          </w:p>
        </w:tc>
        <w:tc>
          <w:p>
            <w:pPr>
              <w:pStyle w:val="Compact"/>
              <w:jc w:val="right"/>
            </w:pPr>
            <w:r>
              <w:t xml:space="preserve">1301.995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12-15</w:t>
            </w:r>
          </w:p>
        </w:tc>
        <w:tc>
          <w:p>
            <w:pPr>
              <w:pStyle w:val="Compact"/>
              <w:jc w:val="right"/>
            </w:pPr>
            <w:r>
              <w:t xml:space="preserve">-13.05928</w:t>
            </w:r>
          </w:p>
        </w:tc>
        <w:tc>
          <w:p>
            <w:pPr>
              <w:pStyle w:val="Compact"/>
              <w:jc w:val="right"/>
            </w:pPr>
            <w:r>
              <w:t xml:space="preserve">-71.54773</w:t>
            </w:r>
          </w:p>
        </w:tc>
        <w:tc>
          <w:p>
            <w:pPr>
              <w:pStyle w:val="Compact"/>
              <w:jc w:val="right"/>
            </w:pPr>
            <w:r>
              <w:t xml:space="preserve">1381.661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16-20</w:t>
            </w:r>
          </w:p>
        </w:tc>
        <w:tc>
          <w:p>
            <w:pPr>
              <w:pStyle w:val="Compact"/>
              <w:jc w:val="right"/>
            </w:pPr>
            <w:r>
              <w:t xml:space="preserve">-13.05900</w:t>
            </w:r>
          </w:p>
        </w:tc>
        <w:tc>
          <w:p>
            <w:pPr>
              <w:pStyle w:val="Compact"/>
              <w:jc w:val="right"/>
            </w:pPr>
            <w:r>
              <w:t xml:space="preserve">-71.54666</w:t>
            </w:r>
          </w:p>
        </w:tc>
        <w:tc>
          <w:p>
            <w:pPr>
              <w:pStyle w:val="Compact"/>
              <w:jc w:val="right"/>
            </w:pPr>
            <w:r>
              <w:t xml:space="preserve">1323.870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21-23</w:t>
            </w:r>
          </w:p>
        </w:tc>
        <w:tc>
          <w:p>
            <w:pPr>
              <w:pStyle w:val="Compact"/>
              <w:jc w:val="right"/>
            </w:pPr>
            <w:r>
              <w:t xml:space="preserve">-13.05921</w:t>
            </w:r>
          </w:p>
        </w:tc>
        <w:tc>
          <w:p>
            <w:pPr>
              <w:pStyle w:val="Compact"/>
              <w:jc w:val="right"/>
            </w:pPr>
            <w:r>
              <w:t xml:space="preserve">-71.54690</w:t>
            </w:r>
          </w:p>
        </w:tc>
        <w:tc>
          <w:p>
            <w:pPr>
              <w:pStyle w:val="Compact"/>
              <w:jc w:val="right"/>
            </w:pPr>
            <w:r>
              <w:t xml:space="preserve">1330.937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24-32</w:t>
            </w:r>
          </w:p>
        </w:tc>
        <w:tc>
          <w:p>
            <w:pPr>
              <w:pStyle w:val="Compact"/>
              <w:jc w:val="right"/>
            </w:pPr>
            <w:r>
              <w:t xml:space="preserve">-13.05932</w:t>
            </w:r>
          </w:p>
        </w:tc>
        <w:tc>
          <w:p>
            <w:pPr>
              <w:pStyle w:val="Compact"/>
              <w:jc w:val="right"/>
            </w:pPr>
            <w:r>
              <w:t xml:space="preserve">-71.54778</w:t>
            </w:r>
          </w:p>
        </w:tc>
        <w:tc>
          <w:p>
            <w:pPr>
              <w:pStyle w:val="Compact"/>
              <w:jc w:val="right"/>
            </w:pPr>
            <w:r>
              <w:t xml:space="preserve">1345.147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33-41</w:t>
            </w:r>
          </w:p>
        </w:tc>
        <w:tc>
          <w:p>
            <w:pPr>
              <w:pStyle w:val="Compact"/>
              <w:jc w:val="right"/>
            </w:pPr>
            <w:r>
              <w:t xml:space="preserve">-13.05821</w:t>
            </w:r>
          </w:p>
        </w:tc>
        <w:tc>
          <w:p>
            <w:pPr>
              <w:pStyle w:val="Compact"/>
              <w:jc w:val="right"/>
            </w:pPr>
            <w:r>
              <w:t xml:space="preserve">-71.54805</w:t>
            </w:r>
          </w:p>
        </w:tc>
        <w:tc>
          <w:p>
            <w:pPr>
              <w:pStyle w:val="Compact"/>
              <w:jc w:val="right"/>
            </w:pPr>
            <w:r>
              <w:t xml:space="preserve">1359.792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42</w:t>
            </w:r>
          </w:p>
        </w:tc>
        <w:tc>
          <w:p>
            <w:pPr>
              <w:pStyle w:val="Compact"/>
              <w:jc w:val="right"/>
            </w:pPr>
            <w:r>
              <w:t xml:space="preserve">-13.05720</w:t>
            </w:r>
          </w:p>
        </w:tc>
        <w:tc>
          <w:p>
            <w:pPr>
              <w:pStyle w:val="Compact"/>
              <w:jc w:val="right"/>
            </w:pPr>
            <w:r>
              <w:t xml:space="preserve">-71.54699</w:t>
            </w:r>
          </w:p>
        </w:tc>
        <w:tc>
          <w:p>
            <w:pPr>
              <w:pStyle w:val="Compact"/>
              <w:jc w:val="right"/>
            </w:pPr>
            <w:r>
              <w:t xml:space="preserve">1370.250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43-50</w:t>
            </w:r>
          </w:p>
        </w:tc>
        <w:tc>
          <w:p>
            <w:pPr>
              <w:pStyle w:val="Compact"/>
              <w:jc w:val="right"/>
            </w:pPr>
            <w:r>
              <w:t xml:space="preserve">-13.05728</w:t>
            </w:r>
          </w:p>
        </w:tc>
        <w:tc>
          <w:p>
            <w:pPr>
              <w:pStyle w:val="Compact"/>
              <w:jc w:val="right"/>
            </w:pPr>
            <w:r>
              <w:t xml:space="preserve">-71.54672</w:t>
            </w:r>
          </w:p>
        </w:tc>
        <w:tc>
          <w:p>
            <w:pPr>
              <w:pStyle w:val="Compact"/>
              <w:jc w:val="right"/>
            </w:pPr>
            <w:r>
              <w:t xml:space="preserve">1368.063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51-53</w:t>
            </w:r>
          </w:p>
        </w:tc>
        <w:tc>
          <w:p>
            <w:pPr>
              <w:pStyle w:val="Compact"/>
              <w:jc w:val="right"/>
            </w:pPr>
            <w:r>
              <w:t xml:space="preserve">-13.05563</w:t>
            </w:r>
          </w:p>
        </w:tc>
        <w:tc>
          <w:p>
            <w:pPr>
              <w:pStyle w:val="Compact"/>
              <w:jc w:val="right"/>
            </w:pPr>
            <w:r>
              <w:t xml:space="preserve">-71.54676</w:t>
            </w:r>
          </w:p>
        </w:tc>
        <w:tc>
          <w:p>
            <w:pPr>
              <w:pStyle w:val="Compact"/>
              <w:jc w:val="right"/>
            </w:pPr>
            <w:r>
              <w:t xml:space="preserve">1358.099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54-60</w:t>
            </w:r>
          </w:p>
        </w:tc>
        <w:tc>
          <w:p>
            <w:pPr>
              <w:pStyle w:val="Compact"/>
              <w:jc w:val="right"/>
            </w:pPr>
            <w:r>
              <w:t xml:space="preserve">-13.05696</w:t>
            </w:r>
          </w:p>
        </w:tc>
        <w:tc>
          <w:p>
            <w:pPr>
              <w:pStyle w:val="Compact"/>
              <w:jc w:val="right"/>
            </w:pPr>
            <w:r>
              <w:t xml:space="preserve">-71.54784</w:t>
            </w:r>
          </w:p>
        </w:tc>
        <w:tc>
          <w:p>
            <w:pPr>
              <w:pStyle w:val="Compact"/>
              <w:jc w:val="right"/>
            </w:pPr>
            <w:r>
              <w:t xml:space="preserve">1398.831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A2: Stages of floral development in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A2: Stages of floral development in C. granulosus."/>
      </w:tblPr>
      <w:tblGrid>
        <w:gridCol w:w="298"/>
        <w:gridCol w:w="6859"/>
        <w:gridCol w:w="76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ï..Stage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Median.duration..days.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</w:t>
            </w:r>
          </w:p>
        </w:tc>
        <w:tc>
          <w:p>
            <w:pPr>
              <w:pStyle w:val="Compact"/>
              <w:jc w:val="left"/>
            </w:pPr>
            <w:r>
              <w:t xml:space="preserve"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p>
            <w:pPr>
              <w:pStyle w:val="Compact"/>
              <w:jc w:val="right"/>
            </w:pPr>
            <w:r>
              <w:t xml:space="preserve">22.3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</w:t>
            </w:r>
          </w:p>
        </w:tc>
        <w:tc>
          <w:p>
            <w:pPr>
              <w:pStyle w:val="Compact"/>
              <w:jc w:val="left"/>
            </w:pPr>
            <w:r>
              <w:t xml:space="preserve">Initiation of curvature, creating 90 degree angle. Red-orange pigmentation is continuous around the base. Flower up to 10 mm tall. Basal diameter up to 6 mm.</w:t>
            </w:r>
          </w:p>
        </w:tc>
        <w:tc>
          <w:p>
            <w:pPr>
              <w:pStyle w:val="Compact"/>
              <w:jc w:val="right"/>
            </w:pPr>
            <w:r>
              <w:t xml:space="preserve">6.1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</w:t>
            </w:r>
          </w:p>
        </w:tc>
        <w:tc>
          <w:p>
            <w:pPr>
              <w:pStyle w:val="Compact"/>
              <w:jc w:val="left"/>
            </w:pPr>
            <w:r>
              <w:t xml:space="preserve">Growth phase. 180 degree angle formed. Red-orange pigmentation outweighs yellow. Flower 14 to 20 mm tall. Basal diameter 6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6.3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</w:t>
            </w:r>
          </w:p>
        </w:tc>
        <w:tc>
          <w:p>
            <w:pPr>
              <w:pStyle w:val="Compact"/>
              <w:jc w:val="left"/>
            </w:pPr>
            <w:r>
              <w:t xml:space="preserve">Pre-anthesis. &gt;180 degree angle formed. Flower 30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8.6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</w:t>
            </w:r>
          </w:p>
        </w:tc>
        <w:tc>
          <w:p>
            <w:pPr>
              <w:pStyle w:val="Compact"/>
              <w:jc w:val="left"/>
            </w:pPr>
            <w:r>
              <w:t xml:space="preserve">Anthesis. Mature male-phase flower. Flower 34 -36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2.6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</w:t>
            </w:r>
          </w:p>
        </w:tc>
        <w:tc>
          <w:p>
            <w:pPr>
              <w:pStyle w:val="Compact"/>
              <w:jc w:val="left"/>
            </w:pPr>
            <w:r>
              <w:t xml:space="preserve">Female-phase flower. Pistil grows overtop of the pollen trap. Flower up to 36 mm tall. Basal diameter up to 10 mm.</w:t>
            </w:r>
          </w:p>
        </w:tc>
        <w:tc>
          <w:p>
            <w:pPr>
              <w:pStyle w:val="Compact"/>
              <w:jc w:val="right"/>
            </w:pPr>
            <w:r>
              <w:t xml:space="preserve">2.4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</w:t>
            </w:r>
          </w:p>
        </w:tc>
        <w:tc>
          <w:p>
            <w:pPr>
              <w:pStyle w:val="Compact"/>
              <w:jc w:val="left"/>
            </w:pPr>
            <w:r>
              <w:t xml:space="preserve">Senescing flower. Petals wilting but retained. Basal diameter 8 â€“ 10 mm.</w:t>
            </w:r>
          </w:p>
        </w:tc>
        <w:tc>
          <w:p>
            <w:pPr>
              <w:pStyle w:val="Compact"/>
              <w:jc w:val="right"/>
            </w:pPr>
            <w:r>
              <w:t xml:space="preserve">5.3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</w:t>
            </w:r>
          </w:p>
        </w:tc>
        <w:tc>
          <w:p>
            <w:pPr>
              <w:pStyle w:val="Compact"/>
              <w:jc w:val="left"/>
            </w:pPr>
            <w:r>
              <w:t xml:space="preserve">Berry development. Petals senesced and lost. Basal diameter grows from 11 â€“ 17 mm.</w:t>
            </w:r>
          </w:p>
        </w:tc>
        <w:tc>
          <w:p>
            <w:pPr>
              <w:pStyle w:val="Compact"/>
              <w:jc w:val="right"/>
            </w:pPr>
            <w:r>
              <w:t xml:space="preserve">24.2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A3: Camera trap records of</w:t>
      </w:r>
      <w:r>
        <w:t xml:space="preserve"> </w:t>
      </w:r>
      <w:r>
        <w:rPr>
          <w:i/>
        </w:rPr>
        <w:t xml:space="preserve">E. condamini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A3: Camera trap records of E. condamini."/>
      </w:tblPr>
      <w:tblGrid>
        <w:gridCol w:w="1224"/>
        <w:gridCol w:w="864"/>
        <w:gridCol w:w="936"/>
        <w:gridCol w:w="1656"/>
        <w:gridCol w:w="1440"/>
        <w:gridCol w:w="1080"/>
        <w:gridCol w:w="72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visit_duration_seconds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Aug_18_2017</w:t>
            </w:r>
          </w:p>
        </w:tc>
        <w:tc>
          <w:p>
            <w:pPr>
              <w:pStyle w:val="Compact"/>
              <w:jc w:val="left"/>
            </w:pPr>
            <w:r>
              <w:t xml:space="preserve">12:36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15:54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10:39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Aug_23_2017</w:t>
            </w:r>
          </w:p>
        </w:tc>
        <w:tc>
          <w:p>
            <w:pPr>
              <w:pStyle w:val="Compact"/>
              <w:jc w:val="left"/>
            </w:pPr>
            <w:r>
              <w:t xml:space="preserve">10:24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Aug_25_2017</w:t>
            </w:r>
          </w:p>
        </w:tc>
        <w:tc>
          <w:p>
            <w:pPr>
              <w:pStyle w:val="Compact"/>
              <w:jc w:val="left"/>
            </w:pPr>
            <w:r>
              <w:t xml:space="preserve">16:27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Aug_26_2017</w:t>
            </w:r>
          </w:p>
        </w:tc>
        <w:tc>
          <w:p>
            <w:pPr>
              <w:pStyle w:val="Compact"/>
              <w:jc w:val="left"/>
            </w:pPr>
            <w:r>
              <w:t xml:space="preserve">5:52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Sep_15_2017</w:t>
            </w:r>
          </w:p>
        </w:tc>
        <w:tc>
          <w:p>
            <w:pPr>
              <w:pStyle w:val="Compact"/>
              <w:jc w:val="left"/>
            </w:pPr>
            <w:r>
              <w:t xml:space="preserve">5:24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Sep_16_2017</w:t>
            </w:r>
          </w:p>
        </w:tc>
        <w:tc>
          <w:p>
            <w:pPr>
              <w:pStyle w:val="Compact"/>
              <w:jc w:val="left"/>
            </w:pPr>
            <w:r>
              <w:t xml:space="preserve">5:56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5:36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7:15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A4: Camera trap records of</w:t>
      </w:r>
      <w:r>
        <w:t xml:space="preserve"> </w:t>
      </w:r>
      <w:r>
        <w:rPr>
          <w:i/>
        </w:rPr>
        <w:t xml:space="preserve">S. geofryii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A4: Camera trap records of S. geofryii."/>
      </w:tblPr>
      <w:tblGrid>
        <w:gridCol w:w="1547"/>
        <w:gridCol w:w="1092"/>
        <w:gridCol w:w="1183"/>
        <w:gridCol w:w="1820"/>
        <w:gridCol w:w="1365"/>
        <w:gridCol w:w="91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9:58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13:03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13:55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15:01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16:11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10:44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11:42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13:10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14:32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16:54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bookmarkEnd w:id="37"/>
    <w:bookmarkStart w:id="44" w:name="references"/>
    <w:p>
      <w:pPr>
        <w:pStyle w:val="Heading1"/>
      </w:pPr>
      <w:r>
        <w:t xml:space="preserve">References</w:t>
      </w:r>
    </w:p>
    <w:bookmarkStart w:id="43" w:name="refs"/>
    <w:bookmarkStart w:id="38" w:name="ref-adams_2013"/>
    <w:p>
      <w:pPr>
        <w:pStyle w:val="Bibliography"/>
      </w:pPr>
      <w:r>
        <w:t xml:space="preserve">Adams, D.C. &amp; Otárola-Castillo, E. (2013). Geomorph: An</w:t>
      </w:r>
      <w:r>
        <w:t xml:space="preserve"> </w:t>
      </w:r>
      <w:r>
        <w:t xml:space="preserve">R</w:t>
      </w:r>
      <w:r>
        <w:t xml:space="preserve"> </w:t>
      </w:r>
      <w:r>
        <w:t xml:space="preserve">package for the collection and analysis of geometric morphometric shape data.</w:t>
      </w:r>
      <w:r>
        <w:t xml:space="preserve"> </w:t>
      </w:r>
      <w:r>
        <w:rPr>
          <w:i/>
        </w:rPr>
        <w:t xml:space="preserve">Methods in Ecology and Evolution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393–399.</w:t>
      </w:r>
    </w:p>
    <w:bookmarkEnd w:id="38"/>
    <w:bookmarkStart w:id="39" w:name="ref-boehm_2021_b"/>
    <w:p>
      <w:pPr>
        <w:pStyle w:val="Bibliography"/>
      </w:pPr>
      <w:r>
        <w:t xml:space="preserve">Boehm, M.M.A. (2021).</w:t>
      </w:r>
      <w:r>
        <w:t xml:space="preserve"> </w:t>
      </w:r>
      <w:r>
        <w:t xml:space="preserve">c</w:t>
      </w:r>
      <w:r>
        <w:t xml:space="preserve">urvr: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R</w:t>
      </w:r>
      <w:r>
        <w:t xml:space="preserve"> </w:t>
      </w:r>
      <w:r>
        <w:t xml:space="preserve">package for measuring total curvature from landmarked specimens.</w:t>
      </w:r>
      <w:r>
        <w:t xml:space="preserve"> </w:t>
      </w:r>
      <w:r>
        <w:rPr>
          <w:i/>
        </w:rPr>
        <w:t xml:space="preserve">R package version 0.0.1</w:t>
      </w:r>
      <w:r>
        <w:t xml:space="preserve">,</w:t>
      </w:r>
      <w:r>
        <w:t xml:space="preserve"> </w:t>
      </w:r>
      <w:r>
        <w:rPr>
          <w:b/>
        </w:rPr>
        <w:t xml:space="preserve">https://github.com/mannfred/curvr</w:t>
      </w:r>
      <w:r>
        <w:t xml:space="preserve">.</w:t>
      </w:r>
    </w:p>
    <w:bookmarkEnd w:id="39"/>
    <w:bookmarkStart w:id="40" w:name="ref-boehm_2022"/>
    <w:p>
      <w:pPr>
        <w:pStyle w:val="Bibliography"/>
      </w:pPr>
      <w:r>
        <w:t xml:space="preserve">Boehm, M.M.A., Jankowski, J.E. &amp; Cronk, Q.C.B. (2022). Plant-pollinator specialization: Origin and measurement of curvature.</w:t>
      </w:r>
      <w:r>
        <w:t xml:space="preserve"> </w:t>
      </w:r>
      <w:r>
        <w:rPr>
          <w:i/>
        </w:rPr>
        <w:t xml:space="preserve">The American Naturalist</w:t>
      </w:r>
      <w:r>
        <w:t xml:space="preserve">,</w:t>
      </w:r>
      <w:r>
        <w:t xml:space="preserve"> </w:t>
      </w:r>
      <w:r>
        <w:rPr>
          <w:b/>
        </w:rPr>
        <w:t xml:space="preserve">199</w:t>
      </w:r>
      <w:r>
        <w:t xml:space="preserve">, 206–222.</w:t>
      </w:r>
    </w:p>
    <w:bookmarkEnd w:id="40"/>
    <w:bookmarkStart w:id="41" w:name="ref-rohlf_2015"/>
    <w:p>
      <w:pPr>
        <w:pStyle w:val="Bibliography"/>
      </w:pPr>
      <w:r>
        <w:t xml:space="preserve">Rohlf, F.J. (2015). The tps series of software.</w:t>
      </w:r>
      <w:r>
        <w:t xml:space="preserve"> </w:t>
      </w:r>
      <w:r>
        <w:rPr>
          <w:i/>
        </w:rPr>
        <w:t xml:space="preserve">Hystrix</w:t>
      </w:r>
      <w:r>
        <w:t xml:space="preserve">,</w:t>
      </w:r>
      <w:r>
        <w:t xml:space="preserve"> </w:t>
      </w:r>
      <w:r>
        <w:rPr>
          <w:b/>
        </w:rPr>
        <w:t xml:space="preserve">26</w:t>
      </w:r>
      <w:r>
        <w:t xml:space="preserve">.</w:t>
      </w:r>
    </w:p>
    <w:bookmarkEnd w:id="41"/>
    <w:bookmarkStart w:id="42" w:name="ref-sun_2017"/>
    <w:p>
      <w:pPr>
        <w:pStyle w:val="Bibliography"/>
      </w:pPr>
      <w:r>
        <w:t xml:space="preserve">Sun, S.-G., Huang, Z.-H., Chen, Z.-B. &amp; Huang, S.-Q. (2017). Nectar properties and the role of sunbirds as pollinators of the golden-flowered tea</w:t>
      </w:r>
      <w:r>
        <w:t xml:space="preserve"> </w:t>
      </w:r>
      <w:r>
        <w:rPr>
          <w:i/>
        </w:rPr>
        <w:t xml:space="preserve">C</w:t>
      </w:r>
      <w:r>
        <w:rPr>
          <w:i/>
        </w:rPr>
        <w:t xml:space="preserve">amellia petelotii</w:t>
      </w:r>
      <w:r>
        <w:t xml:space="preserve">.</w:t>
      </w:r>
      <w:r>
        <w:t xml:space="preserve"> </w:t>
      </w:r>
      <w:r>
        <w:rPr>
          <w:i/>
        </w:rPr>
        <w:t xml:space="preserve">American Journal of Botany</w:t>
      </w:r>
      <w:r>
        <w:t xml:space="preserve">,</w:t>
      </w:r>
      <w:r>
        <w:t xml:space="preserve"> </w:t>
      </w:r>
      <w:r>
        <w:rPr>
          <w:b/>
        </w:rPr>
        <w:t xml:space="preserve">104</w:t>
      </w:r>
      <w:r>
        <w:t xml:space="preserve">, 468–476.</w:t>
      </w:r>
    </w:p>
    <w:bookmarkEnd w:id="42"/>
    <w:bookmarkEnd w:id="43"/>
    <w:bookmarkEnd w:id="44"/>
    <w:sectPr w:rsidR="00826720" w:rsidRPr="00826720" w:rsidSect="00EE50EF">
      <w:footerReference w:type="default" r:id="rId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6710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36A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6710CF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1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4" Target="media/rId24.tiff" /><Relationship Type="http://schemas.openxmlformats.org/officeDocument/2006/relationships/image" Id="rId33" Target="media/rId33.tiff" /><Relationship Type="http://schemas.openxmlformats.org/officeDocument/2006/relationships/image" Id="rId34" Target="media/rId34.jpg" /><Relationship Type="http://schemas.openxmlformats.org/officeDocument/2006/relationships/image" Id="rId35" Target="media/rId35.tiff" /><Relationship Type="http://schemas.openxmlformats.org/officeDocument/2006/relationships/image" Id="rId25" Target="media/rId25.tiff" /><Relationship Type="http://schemas.openxmlformats.org/officeDocument/2006/relationships/image" Id="rId26" Target="media/rId26.jpg" /><Relationship Type="http://schemas.openxmlformats.org/officeDocument/2006/relationships/image" Id="rId27" Target="media/rId27.tiff" /><Relationship Type="http://schemas.openxmlformats.org/officeDocument/2006/relationships/image" Id="rId28" Target="media/rId28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for: Floral phenology of an Andean bellflower and pollination by Buff-tailed Sicklebill</dc:title>
  <dc:creator/>
  <cp:keywords/>
  <dcterms:created xsi:type="dcterms:W3CDTF">2022-02-01T19:44:49Z</dcterms:created>
  <dcterms:modified xsi:type="dcterms:W3CDTF">2022-02-01T19:44:49Z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centropogon_eutoxeres.bib</vt:lpwstr>
  </property>
  <property fmtid="{D5CDD505-2E9C-101B-9397-08002B2CF9AE}" pid="3" name="citecolor">
    <vt:lpwstr>blue</vt:lpwstr>
  </property>
  <property fmtid="{D5CDD505-2E9C-101B-9397-08002B2CF9AE}" pid="4" name="csl">
    <vt:lpwstr>ecoevo.csl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